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5040" w:firstLine="0"/>
        <w:rPr>
          <w:b w:val="1"/>
          <w:bCs w:val="1"/>
        </w:rPr>
      </w:pPr>
      <w:r w:rsidDel="00000000" w:rsidR="00000000" w:rsidRPr="00000000">
        <w:rPr>
          <w:sz w:val="20"/>
          <w:szCs w:val="20"/>
          <w:rtl w:val="0"/>
        </w:rPr>
        <w:t xml:space="preserve">                 </w:t>
      </w:r>
      <w:r w:rsidDel="00000000" w:rsidR="00000000" w:rsidRPr="00000000">
        <w:rPr>
          <w:rFonts w:ascii="Crimson Pro" w:cs="Crimson Pro" w:eastAsia="Crimson Pro" w:hAnsi="Crimson Pro"/>
          <w:sz w:val="20"/>
          <w:szCs w:val="20"/>
          <w:rtl w:val="0"/>
        </w:rPr>
        <w:t xml:space="preserve"> Hamburg, den 16. März 2026</w:t>
      </w:r>
      <w:r w:rsidDel="00000000" w:rsidR="00000000" w:rsidRPr="00000000">
        <w:rPr>
          <w:rtl w:val="0"/>
        </w:rPr>
      </w:r>
    </w:p>
    <w:p w:rsidR="00000000" w:rsidDel="00000000" w:rsidP="00000000" w:rsidRDefault="00000000" w:rsidRPr="00000000" w14:paraId="00000002">
      <w:pPr>
        <w:spacing w:line="240" w:lineRule="auto"/>
        <w:rPr>
          <w:rFonts w:ascii="Crimson Pro" w:cs="Crimson Pro" w:eastAsia="Crimson Pro" w:hAnsi="Crimson Pro"/>
          <w:sz w:val="32"/>
          <w:szCs w:val="32"/>
        </w:rPr>
      </w:pPr>
      <w:r w:rsidDel="00000000" w:rsidR="00000000" w:rsidRPr="00000000">
        <w:rPr>
          <w:rFonts w:ascii="Hind Vadodara" w:cs="Hind Vadodara" w:eastAsia="Hind Vadodara" w:hAnsi="Hind Vadodara"/>
          <w:b w:val="1"/>
          <w:bCs w:val="1"/>
          <w:sz w:val="28"/>
          <w:szCs w:val="28"/>
          <w:rtl w:val="0"/>
        </w:rPr>
        <w:t xml:space="preserve">Ist die Schule ein besonders geschützter Raum für politische Bildung?</w:t>
      </w:r>
      <w:r w:rsidDel="00000000" w:rsidR="00000000" w:rsidRPr="00000000">
        <w:rPr>
          <w:rtl w:val="0"/>
        </w:rPr>
      </w:r>
    </w:p>
    <w:p w:rsidR="00000000" w:rsidDel="00000000" w:rsidP="00000000" w:rsidRDefault="00000000" w:rsidRPr="00000000" w14:paraId="00000003">
      <w:pPr>
        <w:rPr>
          <w:rFonts w:ascii="Crimson Pro" w:cs="Crimson Pro" w:eastAsia="Crimson Pro" w:hAnsi="Crimson Pro"/>
          <w:sz w:val="20"/>
          <w:szCs w:val="20"/>
          <w:highlight w:val="white"/>
        </w:rPr>
      </w:pPr>
      <w:r w:rsidDel="00000000" w:rsidR="00000000" w:rsidRPr="00000000">
        <w:rPr>
          <w:rFonts w:ascii="Crimson Pro" w:cs="Crimson Pro" w:eastAsia="Crimson Pro" w:hAnsi="Crimson Pro"/>
          <w:sz w:val="20"/>
          <w:szCs w:val="20"/>
          <w:rtl w:val="0"/>
        </w:rPr>
        <w:br w:type="textWrapping"/>
        <w:t xml:space="preserve">Am 5.02. erhielten die Schulpostfächer in Hamburg eine Email mit einem </w:t>
      </w:r>
      <w:r w:rsidDel="00000000" w:rsidR="00000000" w:rsidRPr="00000000">
        <w:rPr>
          <w:rFonts w:ascii="Crimson Pro" w:cs="Crimson Pro" w:eastAsia="Crimson Pro" w:hAnsi="Crimson Pro"/>
          <w:b w:val="1"/>
          <w:bCs w:val="1"/>
          <w:sz w:val="20"/>
          <w:szCs w:val="20"/>
          <w:rtl w:val="0"/>
        </w:rPr>
        <w:t xml:space="preserve">"Schulbrief",</w:t>
      </w:r>
      <w:r w:rsidDel="00000000" w:rsidR="00000000" w:rsidRPr="00000000">
        <w:rPr>
          <w:rFonts w:ascii="Crimson Pro" w:cs="Crimson Pro" w:eastAsia="Crimson Pro" w:hAnsi="Crimson Pro"/>
          <w:sz w:val="20"/>
          <w:szCs w:val="20"/>
          <w:rtl w:val="0"/>
        </w:rPr>
        <w:t xml:space="preserve"> der sich an alle Schulleitungen und Lehrkräfte wendete.  Auf dem Briefkopf der “Behörde für Inneres &amp; Sport”, im </w:t>
      </w:r>
      <w:r w:rsidDel="00000000" w:rsidR="00000000" w:rsidRPr="00000000">
        <w:rPr>
          <w:rFonts w:ascii="Crimson Pro" w:cs="Crimson Pro" w:eastAsia="Crimson Pro" w:hAnsi="Crimson Pro"/>
          <w:b w:val="1"/>
          <w:bCs w:val="1"/>
          <w:sz w:val="20"/>
          <w:szCs w:val="20"/>
          <w:rtl w:val="0"/>
        </w:rPr>
        <w:t xml:space="preserve">Olympiakampagnen-Look  </w:t>
      </w:r>
      <w:r w:rsidDel="00000000" w:rsidR="00000000" w:rsidRPr="00000000">
        <w:rPr>
          <w:rFonts w:ascii="Crimson Pro" w:cs="Crimson Pro" w:eastAsia="Crimson Pro" w:hAnsi="Crimson Pro"/>
          <w:sz w:val="20"/>
          <w:szCs w:val="20"/>
          <w:rtl w:val="0"/>
        </w:rPr>
        <w:t xml:space="preserve">und </w:t>
      </w:r>
      <w:r w:rsidDel="00000000" w:rsidR="00000000" w:rsidRPr="00000000">
        <w:rPr>
          <w:rFonts w:ascii="Crimson Pro" w:cs="Crimson Pro" w:eastAsia="Crimson Pro" w:hAnsi="Crimson Pro"/>
          <w:b w:val="1"/>
          <w:bCs w:val="1"/>
          <w:sz w:val="20"/>
          <w:szCs w:val="20"/>
          <w:rtl w:val="0"/>
        </w:rPr>
        <w:t xml:space="preserve">unterschrieben vom Vorprojektteam</w:t>
      </w:r>
      <w:r w:rsidDel="00000000" w:rsidR="00000000" w:rsidRPr="00000000">
        <w:rPr>
          <w:rFonts w:ascii="Crimson Pro" w:cs="Crimson Pro" w:eastAsia="Crimson Pro" w:hAnsi="Crimson Pro"/>
          <w:sz w:val="20"/>
          <w:szCs w:val="20"/>
          <w:rtl w:val="0"/>
        </w:rPr>
        <w:t xml:space="preserve"> für die Olympischen und Paralympischen Spiele  wurde dem Lehrkörper anläßlich des bevorstehenden Referendums folgendes angekündigt:  </w:t>
        <w:br w:type="textWrapping"/>
        <w:t xml:space="preserve">1. </w:t>
      </w:r>
      <w:r w:rsidDel="00000000" w:rsidR="00000000" w:rsidRPr="00000000">
        <w:rPr>
          <w:rFonts w:ascii="Crimson Pro" w:cs="Crimson Pro" w:eastAsia="Crimson Pro" w:hAnsi="Crimson Pro"/>
          <w:b w:val="1"/>
          <w:bCs w:val="1"/>
          <w:sz w:val="20"/>
          <w:szCs w:val="20"/>
          <w:rtl w:val="0"/>
        </w:rPr>
        <w:t xml:space="preserve">Unterrichtsmaterialien</w:t>
      </w:r>
      <w:r w:rsidDel="00000000" w:rsidR="00000000" w:rsidRPr="00000000">
        <w:rPr>
          <w:rFonts w:ascii="Crimson Pro" w:cs="Crimson Pro" w:eastAsia="Crimson Pro" w:hAnsi="Crimson Pro"/>
          <w:sz w:val="20"/>
          <w:szCs w:val="20"/>
          <w:rtl w:val="0"/>
        </w:rPr>
        <w:t xml:space="preserve"> zu Olympischen Werten und dem Hamburger Bewerbungskonzept </w:t>
        <w:br w:type="textWrapping"/>
        <w:t xml:space="preserve">2. Unterstützung bei der Einbindung in schulsportliche Veranstaltungen </w:t>
        <w:br w:type="textWrapping"/>
        <w:t xml:space="preserve">3. </w:t>
      </w:r>
      <w:r w:rsidDel="00000000" w:rsidR="00000000" w:rsidRPr="00000000">
        <w:rPr>
          <w:rFonts w:ascii="Crimson Pro" w:cs="Crimson Pro" w:eastAsia="Crimson Pro" w:hAnsi="Crimson Pro"/>
          <w:b w:val="1"/>
          <w:bCs w:val="1"/>
          <w:sz w:val="20"/>
          <w:szCs w:val="20"/>
          <w:rtl w:val="0"/>
        </w:rPr>
        <w:t xml:space="preserve">Aufruf zu ehrenamtlichem Engagement</w:t>
      </w:r>
      <w:r w:rsidDel="00000000" w:rsidR="00000000" w:rsidRPr="00000000">
        <w:rPr>
          <w:rFonts w:ascii="Crimson Pro" w:cs="Crimson Pro" w:eastAsia="Crimson Pro" w:hAnsi="Crimson Pro"/>
          <w:sz w:val="20"/>
          <w:szCs w:val="20"/>
          <w:rtl w:val="0"/>
        </w:rPr>
        <w:t xml:space="preserve"> von Lehrkräften und Schülerinnen und Schülern als Volunteers</w:t>
        <w:br w:type="textWrapping"/>
        <w:t xml:space="preserve">Interessierte konnten sich an </w:t>
      </w:r>
      <w:hyperlink r:id="rId6">
        <w:r w:rsidDel="00000000" w:rsidR="00000000" w:rsidRPr="00000000">
          <w:rPr>
            <w:rFonts w:ascii="Crimson Pro" w:cs="Crimson Pro" w:eastAsia="Crimson Pro" w:hAnsi="Crimson Pro"/>
            <w:color w:val="1155cc"/>
            <w:sz w:val="20"/>
            <w:szCs w:val="20"/>
            <w:highlight w:val="white"/>
            <w:u w:val="single"/>
            <w:rtl w:val="0"/>
          </w:rPr>
          <w:t xml:space="preserve">olympia-paralympics@sommerspiele.hamburg.de</w:t>
        </w:r>
      </w:hyperlink>
      <w:r w:rsidDel="00000000" w:rsidR="00000000" w:rsidRPr="00000000">
        <w:rPr>
          <w:rFonts w:ascii="Crimson Pro" w:cs="Crimson Pro" w:eastAsia="Crimson Pro" w:hAnsi="Crimson Pro"/>
          <w:sz w:val="20"/>
          <w:szCs w:val="20"/>
          <w:highlight w:val="white"/>
          <w:rtl w:val="0"/>
        </w:rPr>
        <w:t xml:space="preserve"> wenden.</w:t>
        <w:br w:type="textWrapping"/>
        <w:t xml:space="preserve">Die Lehrer werden angeregt Materialien noch vor dem Olympiareferendum am 31.05. zu verwenden.</w:t>
        <w:br w:type="textWrapping"/>
        <w:br w:type="textWrapping"/>
        <w:t xml:space="preserve">Am 4.03. verschickte das Vorprojektteam interessierten Lehrkräften bereits </w:t>
      </w:r>
      <w:r w:rsidDel="00000000" w:rsidR="00000000" w:rsidRPr="00000000">
        <w:rPr>
          <w:rFonts w:ascii="Crimson Pro" w:cs="Crimson Pro" w:eastAsia="Crimson Pro" w:hAnsi="Crimson Pro"/>
          <w:b w:val="1"/>
          <w:bCs w:val="1"/>
          <w:sz w:val="20"/>
          <w:szCs w:val="20"/>
          <w:highlight w:val="white"/>
          <w:rtl w:val="0"/>
        </w:rPr>
        <w:t xml:space="preserve">Unterrichtsmaterialien</w:t>
      </w:r>
      <w:r w:rsidDel="00000000" w:rsidR="00000000" w:rsidRPr="00000000">
        <w:rPr>
          <w:rFonts w:ascii="Crimson Pro" w:cs="Crimson Pro" w:eastAsia="Crimson Pro" w:hAnsi="Crimson Pro"/>
          <w:sz w:val="20"/>
          <w:szCs w:val="20"/>
          <w:highlight w:val="white"/>
          <w:rtl w:val="0"/>
        </w:rPr>
        <w:t xml:space="preserve">; ebenfalls im </w:t>
      </w:r>
      <w:r w:rsidDel="00000000" w:rsidR="00000000" w:rsidRPr="00000000">
        <w:rPr>
          <w:rFonts w:ascii="Crimson Pro" w:cs="Crimson Pro" w:eastAsia="Crimson Pro" w:hAnsi="Crimson Pro"/>
          <w:b w:val="1"/>
          <w:bCs w:val="1"/>
          <w:sz w:val="20"/>
          <w:szCs w:val="20"/>
          <w:highlight w:val="white"/>
          <w:rtl w:val="0"/>
        </w:rPr>
        <w:t xml:space="preserve">Olympiakampagnen-Look</w:t>
      </w:r>
      <w:r w:rsidDel="00000000" w:rsidR="00000000" w:rsidRPr="00000000">
        <w:rPr>
          <w:rFonts w:ascii="Crimson Pro" w:cs="Crimson Pro" w:eastAsia="Crimson Pro" w:hAnsi="Crimson Pro"/>
          <w:sz w:val="20"/>
          <w:szCs w:val="20"/>
          <w:highlight w:val="white"/>
          <w:rtl w:val="0"/>
        </w:rPr>
        <w:t xml:space="preserve">. Demzufolge sollten alle anderen Lehrkräfte Ende der Woche vom 9. März von der Behörde für Schule, Familie und Berufsbildung zentral mit diesen Unterrichtsmaterialien versorgt werden. </w:t>
      </w:r>
    </w:p>
    <w:p w:rsidR="00000000" w:rsidDel="00000000" w:rsidP="00000000" w:rsidRDefault="00000000" w:rsidRPr="00000000" w14:paraId="00000004">
      <w:pPr>
        <w:rPr>
          <w:rFonts w:ascii="Crimson Pro" w:cs="Crimson Pro" w:eastAsia="Crimson Pro" w:hAnsi="Crimson Pro"/>
          <w:sz w:val="20"/>
          <w:szCs w:val="20"/>
          <w:highlight w:val="white"/>
        </w:rPr>
      </w:pPr>
      <w:r w:rsidDel="00000000" w:rsidR="00000000" w:rsidRPr="00000000">
        <w:rPr>
          <w:rFonts w:ascii="Crimson Pro" w:cs="Crimson Pro" w:eastAsia="Crimson Pro" w:hAnsi="Crimson Pro"/>
          <w:sz w:val="20"/>
          <w:szCs w:val="20"/>
          <w:highlight w:val="white"/>
          <w:rtl w:val="0"/>
        </w:rPr>
        <w:t xml:space="preserve">Schulbrief und Vorankündigung verweisen auf Materialien zu einem </w:t>
      </w:r>
      <w:r w:rsidDel="00000000" w:rsidR="00000000" w:rsidRPr="00000000">
        <w:rPr>
          <w:rFonts w:ascii="Crimson Pro" w:cs="Crimson Pro" w:eastAsia="Crimson Pro" w:hAnsi="Crimson Pro"/>
          <w:sz w:val="20"/>
          <w:szCs w:val="20"/>
          <w:highlight w:val="white"/>
          <w:u w:val="single"/>
          <w:rtl w:val="0"/>
        </w:rPr>
        <w:t xml:space="preserve">Bürger</w:t>
      </w:r>
      <w:r w:rsidDel="00000000" w:rsidR="00000000" w:rsidRPr="00000000">
        <w:rPr>
          <w:rFonts w:ascii="Crimson Pro" w:cs="Crimson Pro" w:eastAsia="Crimson Pro" w:hAnsi="Crimson Pro"/>
          <w:sz w:val="20"/>
          <w:szCs w:val="20"/>
          <w:highlight w:val="white"/>
          <w:rtl w:val="0"/>
        </w:rPr>
        <w:t xml:space="preserve">referendum ggü. einem Volksentscheid, was sachlich falsch ist: der anstehende demokratische Prozeß ist ein Bürger</w:t>
      </w:r>
      <w:r w:rsidDel="00000000" w:rsidR="00000000" w:rsidRPr="00000000">
        <w:rPr>
          <w:rFonts w:ascii="Crimson Pro" w:cs="Crimson Pro" w:eastAsia="Crimson Pro" w:hAnsi="Crimson Pro"/>
          <w:sz w:val="20"/>
          <w:szCs w:val="20"/>
          <w:highlight w:val="white"/>
          <w:u w:val="single"/>
          <w:rtl w:val="0"/>
        </w:rPr>
        <w:t xml:space="preserve">schafts</w:t>
      </w:r>
      <w:r w:rsidDel="00000000" w:rsidR="00000000" w:rsidRPr="00000000">
        <w:rPr>
          <w:rFonts w:ascii="Crimson Pro" w:cs="Crimson Pro" w:eastAsia="Crimson Pro" w:hAnsi="Crimson Pro"/>
          <w:sz w:val="20"/>
          <w:szCs w:val="20"/>
          <w:highlight w:val="white"/>
          <w:rtl w:val="0"/>
        </w:rPr>
        <w:t xml:space="preserve">referendum. In den Unterrichtsmaterialien ist dies zutreffend benannt. Der Abstimmungsbeginn (24.04. vs. 22.04.)wird  in Unterrichtsmaterialien teilweise falsch angegeben.</w:t>
      </w:r>
    </w:p>
    <w:p w:rsidR="00000000" w:rsidDel="00000000" w:rsidP="00000000" w:rsidRDefault="00000000" w:rsidRPr="00000000" w14:paraId="00000005">
      <w:pPr>
        <w:rPr>
          <w:rFonts w:ascii="Crimson Pro" w:cs="Crimson Pro" w:eastAsia="Crimson Pro" w:hAnsi="Crimson Pro"/>
          <w:sz w:val="20"/>
          <w:szCs w:val="20"/>
          <w:highlight w:val="white"/>
        </w:rPr>
      </w:pPr>
      <w:r w:rsidDel="00000000" w:rsidR="00000000" w:rsidRPr="00000000">
        <w:rPr>
          <w:rFonts w:ascii="Crimson Pro" w:cs="Crimson Pro" w:eastAsia="Crimson Pro" w:hAnsi="Crimson Pro"/>
          <w:sz w:val="20"/>
          <w:szCs w:val="20"/>
          <w:highlight w:val="white"/>
          <w:rtl w:val="0"/>
        </w:rPr>
        <w:t xml:space="preserve">Die Klassen 8-10 werden zum Abschluss der Unterrichtseinheiten unter der Überschrift “Was könntet ihr nun konkret tun?” für </w:t>
      </w:r>
      <w:r w:rsidDel="00000000" w:rsidR="00000000" w:rsidRPr="00000000">
        <w:rPr>
          <w:rFonts w:ascii="Crimson Pro" w:cs="Crimson Pro" w:eastAsia="Crimson Pro" w:hAnsi="Crimson Pro"/>
          <w:b w:val="1"/>
          <w:bCs w:val="1"/>
          <w:sz w:val="20"/>
          <w:szCs w:val="20"/>
          <w:highlight w:val="white"/>
          <w:rtl w:val="0"/>
        </w:rPr>
        <w:t xml:space="preserve">weitere Informationen ausschließlich </w:t>
      </w:r>
      <w:r w:rsidDel="00000000" w:rsidR="00000000" w:rsidRPr="00000000">
        <w:rPr>
          <w:rFonts w:ascii="Crimson Pro" w:cs="Crimson Pro" w:eastAsia="Crimson Pro" w:hAnsi="Crimson Pro"/>
          <w:sz w:val="20"/>
          <w:szCs w:val="20"/>
          <w:highlight w:val="white"/>
          <w:rtl w:val="0"/>
        </w:rPr>
        <w:t xml:space="preserve">auf die </w:t>
      </w:r>
      <w:r w:rsidDel="00000000" w:rsidR="00000000" w:rsidRPr="00000000">
        <w:rPr>
          <w:rFonts w:ascii="Crimson Pro" w:cs="Crimson Pro" w:eastAsia="Crimson Pro" w:hAnsi="Crimson Pro"/>
          <w:b w:val="1"/>
          <w:bCs w:val="1"/>
          <w:sz w:val="20"/>
          <w:szCs w:val="20"/>
          <w:highlight w:val="white"/>
          <w:rtl w:val="0"/>
        </w:rPr>
        <w:t xml:space="preserve">Olympiabewerbungsseite</w:t>
      </w:r>
      <w:r w:rsidDel="00000000" w:rsidR="00000000" w:rsidRPr="00000000">
        <w:rPr>
          <w:rFonts w:ascii="Crimson Pro" w:cs="Crimson Pro" w:eastAsia="Crimson Pro" w:hAnsi="Crimson Pro"/>
          <w:sz w:val="20"/>
          <w:szCs w:val="20"/>
          <w:highlight w:val="white"/>
          <w:rtl w:val="0"/>
        </w:rPr>
        <w:t xml:space="preserve"> des Senats im Kleid seines Sportkonzepts (Active City) verwiesen. Quellenverlinkungen in den Materialien sind entweder im Verhältnis 2:1 oder ausschließlich aus olympiafreundlichen Quellen. </w:t>
        <w:br w:type="textWrapping"/>
        <w:t xml:space="preserve">Im</w:t>
      </w:r>
      <w:r w:rsidDel="00000000" w:rsidR="00000000" w:rsidRPr="00000000">
        <w:rPr>
          <w:rFonts w:ascii="Crimson Pro" w:cs="Crimson Pro" w:eastAsia="Crimson Pro" w:hAnsi="Crimson Pro"/>
          <w:b w:val="1"/>
          <w:bCs w:val="1"/>
          <w:sz w:val="20"/>
          <w:szCs w:val="20"/>
          <w:highlight w:val="white"/>
          <w:rtl w:val="0"/>
        </w:rPr>
        <w:t xml:space="preserve"> Beutelsbacher Konsens, </w:t>
      </w:r>
      <w:r w:rsidDel="00000000" w:rsidR="00000000" w:rsidRPr="00000000">
        <w:rPr>
          <w:rFonts w:ascii="Crimson Pro" w:cs="Crimson Pro" w:eastAsia="Crimson Pro" w:hAnsi="Crimson Pro"/>
          <w:sz w:val="20"/>
          <w:szCs w:val="20"/>
          <w:highlight w:val="white"/>
          <w:rtl w:val="0"/>
        </w:rPr>
        <w:t xml:space="preserve">der politische Bildung im schulischen Kontext seit langem prägt,  heißt es dazu, dass Schülerinnen und Schüler nicht im Sinne einer politischen Position beeinflusst werden sollen (</w:t>
      </w:r>
      <w:r w:rsidDel="00000000" w:rsidR="00000000" w:rsidRPr="00000000">
        <w:rPr>
          <w:rFonts w:ascii="Crimson Pro" w:cs="Crimson Pro" w:eastAsia="Crimson Pro" w:hAnsi="Crimson Pro"/>
          <w:b w:val="1"/>
          <w:bCs w:val="1"/>
          <w:sz w:val="20"/>
          <w:szCs w:val="20"/>
          <w:highlight w:val="white"/>
          <w:rtl w:val="0"/>
        </w:rPr>
        <w:t xml:space="preserve">Indoktrinationsverbot</w:t>
      </w:r>
      <w:r w:rsidDel="00000000" w:rsidR="00000000" w:rsidRPr="00000000">
        <w:rPr>
          <w:rFonts w:ascii="Crimson Pro" w:cs="Crimson Pro" w:eastAsia="Crimson Pro" w:hAnsi="Crimson Pro"/>
          <w:sz w:val="20"/>
          <w:szCs w:val="20"/>
          <w:highlight w:val="white"/>
          <w:rtl w:val="0"/>
        </w:rPr>
        <w:t xml:space="preserve">).</w:t>
      </w:r>
    </w:p>
    <w:p w:rsidR="00000000" w:rsidDel="00000000" w:rsidP="00000000" w:rsidRDefault="00000000" w:rsidRPr="00000000" w14:paraId="00000006">
      <w:pPr>
        <w:rPr>
          <w:rFonts w:ascii="Crimson Pro" w:cs="Crimson Pro" w:eastAsia="Crimson Pro" w:hAnsi="Crimson Pro"/>
          <w:sz w:val="20"/>
          <w:szCs w:val="20"/>
          <w:highlight w:val="white"/>
        </w:rPr>
      </w:pPr>
      <w:r w:rsidDel="00000000" w:rsidR="00000000" w:rsidRPr="00000000">
        <w:rPr>
          <w:rFonts w:ascii="Crimson Pro" w:cs="Crimson Pro" w:eastAsia="Crimson Pro" w:hAnsi="Crimson Pro"/>
          <w:sz w:val="20"/>
          <w:szCs w:val="20"/>
          <w:highlight w:val="white"/>
          <w:rtl w:val="0"/>
        </w:rPr>
        <w:t xml:space="preserve">Weder die Unterlagen für die Klassen 8-10 noch die für die Klassen 11-13 fördern die Auseinandersetzung mit dem Tool des  Bürgerschaftsreferendums in seinen </w:t>
      </w:r>
      <w:r w:rsidDel="00000000" w:rsidR="00000000" w:rsidRPr="00000000">
        <w:rPr>
          <w:rFonts w:ascii="Crimson Pro" w:cs="Crimson Pro" w:eastAsia="Crimson Pro" w:hAnsi="Crimson Pro"/>
          <w:b w:val="1"/>
          <w:bCs w:val="1"/>
          <w:sz w:val="20"/>
          <w:szCs w:val="20"/>
          <w:highlight w:val="white"/>
          <w:rtl w:val="0"/>
        </w:rPr>
        <w:t xml:space="preserve">olympiabewerbungsbezogenen Entstehungungs-</w:t>
      </w:r>
      <w:r w:rsidDel="00000000" w:rsidR="00000000" w:rsidRPr="00000000">
        <w:rPr>
          <w:rFonts w:ascii="Crimson Pro" w:cs="Crimson Pro" w:eastAsia="Crimson Pro" w:hAnsi="Crimson Pro"/>
          <w:sz w:val="20"/>
          <w:szCs w:val="20"/>
          <w:highlight w:val="white"/>
          <w:rtl w:val="0"/>
        </w:rPr>
        <w:t xml:space="preserve"> und bislang </w:t>
      </w:r>
      <w:r w:rsidDel="00000000" w:rsidR="00000000" w:rsidRPr="00000000">
        <w:rPr>
          <w:rFonts w:ascii="Crimson Pro" w:cs="Crimson Pro" w:eastAsia="Crimson Pro" w:hAnsi="Crimson Pro"/>
          <w:b w:val="1"/>
          <w:bCs w:val="1"/>
          <w:sz w:val="20"/>
          <w:szCs w:val="20"/>
          <w:highlight w:val="white"/>
          <w:rtl w:val="0"/>
        </w:rPr>
        <w:t xml:space="preserve">ausschließlichen Anwendungskontext</w:t>
      </w:r>
      <w:r w:rsidDel="00000000" w:rsidR="00000000" w:rsidRPr="00000000">
        <w:rPr>
          <w:rFonts w:ascii="Crimson Pro" w:cs="Crimson Pro" w:eastAsia="Crimson Pro" w:hAnsi="Crimson Pro"/>
          <w:sz w:val="20"/>
          <w:szCs w:val="20"/>
          <w:highlight w:val="white"/>
          <w:rtl w:val="0"/>
        </w:rPr>
        <w:t xml:space="preserve"> ein. Keine der Unterlagen bindet das </w:t>
      </w:r>
      <w:r w:rsidDel="00000000" w:rsidR="00000000" w:rsidRPr="00000000">
        <w:rPr>
          <w:rFonts w:ascii="Crimson Pro" w:cs="Crimson Pro" w:eastAsia="Crimson Pro" w:hAnsi="Crimson Pro"/>
          <w:b w:val="1"/>
          <w:bCs w:val="1"/>
          <w:sz w:val="20"/>
          <w:szCs w:val="20"/>
          <w:highlight w:val="white"/>
          <w:rtl w:val="0"/>
        </w:rPr>
        <w:t xml:space="preserve">zivilgesellschaftliche Instrument der Stellungnahme</w:t>
      </w:r>
      <w:r w:rsidDel="00000000" w:rsidR="00000000" w:rsidRPr="00000000">
        <w:rPr>
          <w:rFonts w:ascii="Crimson Pro" w:cs="Crimson Pro" w:eastAsia="Crimson Pro" w:hAnsi="Crimson Pro"/>
          <w:sz w:val="20"/>
          <w:szCs w:val="20"/>
          <w:highlight w:val="white"/>
          <w:rtl w:val="0"/>
        </w:rPr>
        <w:t xml:space="preserve"> ein, das 2015 und auch 2026 zur Anwendung kommt und welches in besonderem Maße  die Kontroversität des Anliegens auf den Punkt bringt. Das Beutelsbacher Prinzip des </w:t>
      </w:r>
      <w:r w:rsidDel="00000000" w:rsidR="00000000" w:rsidRPr="00000000">
        <w:rPr>
          <w:rFonts w:ascii="Crimson Pro" w:cs="Crimson Pro" w:eastAsia="Crimson Pro" w:hAnsi="Crimson Pro"/>
          <w:b w:val="1"/>
          <w:bCs w:val="1"/>
          <w:sz w:val="20"/>
          <w:szCs w:val="20"/>
          <w:highlight w:val="white"/>
          <w:rtl w:val="0"/>
        </w:rPr>
        <w:t xml:space="preserve">Gebots der Kontroversität</w:t>
      </w:r>
      <w:r w:rsidDel="00000000" w:rsidR="00000000" w:rsidRPr="00000000">
        <w:rPr>
          <w:rFonts w:ascii="Crimson Pro" w:cs="Crimson Pro" w:eastAsia="Crimson Pro" w:hAnsi="Crimson Pro"/>
          <w:sz w:val="20"/>
          <w:szCs w:val="20"/>
          <w:highlight w:val="white"/>
          <w:rtl w:val="0"/>
        </w:rPr>
        <w:t xml:space="preserve"> fordert im schulischen Kontext, dass politisch-gesellschaftlich kontroverses auch im Unterricht kontrovers dargestellt werden soll. </w:t>
        <w:br w:type="textWrapping"/>
        <w:t xml:space="preserve">Die demokratischen Anforderungen an eine Stellungnahme kreuzen das Unterschriftenerfordernis von 10 Tausend (wie bei einer Volksinitiative) mit der Sammlungsfrist von 3 Wochen (wie bei einem Volksbegehren) und sind damit eine Besonderheit dieses Verfahrens. </w:t>
        <w:br w:type="textWrapping"/>
        <w:t xml:space="preserve">NOlympia hatte am 21.02. knapp 20 Tausend Unterschriften für seine Stellungnahme beim Landeswahlleiter eingereicht. Im Unterschied zu Senat und Bürgerschaft darf NOlympia den Wortlaut der eingereichten Stellungnahme seit dem 15.01., dem Zeitpunkt der Beantragung des Stellungnahmeansinnens, nicht mehr verändern. Gleichzeitig hat der Senat erst am 11.03. begonnen, weitere Details (insbesondere zur Finanzierung) zu veröffentlichen.</w:t>
      </w:r>
    </w:p>
    <w:p w:rsidR="00000000" w:rsidDel="00000000" w:rsidP="00000000" w:rsidRDefault="00000000" w:rsidRPr="00000000" w14:paraId="00000007">
      <w:pPr>
        <w:rPr>
          <w:rFonts w:ascii="Crimson Pro" w:cs="Crimson Pro" w:eastAsia="Crimson Pro" w:hAnsi="Crimson Pro"/>
          <w:sz w:val="20"/>
          <w:szCs w:val="20"/>
          <w:highlight w:val="white"/>
        </w:rPr>
      </w:pPr>
      <w:r w:rsidDel="00000000" w:rsidR="00000000" w:rsidRPr="00000000">
        <w:rPr>
          <w:rFonts w:ascii="Crimson Pro" w:cs="Crimson Pro" w:eastAsia="Crimson Pro" w:hAnsi="Crimson Pro"/>
          <w:sz w:val="20"/>
          <w:szCs w:val="20"/>
          <w:highlight w:val="white"/>
          <w:rtl w:val="0"/>
        </w:rPr>
        <w:t xml:space="preserve">“</w:t>
      </w:r>
      <w:r w:rsidDel="00000000" w:rsidR="00000000" w:rsidRPr="00000000">
        <w:rPr>
          <w:rFonts w:ascii="Crimson Pro" w:cs="Crimson Pro" w:eastAsia="Crimson Pro" w:hAnsi="Crimson Pro"/>
          <w:sz w:val="20"/>
          <w:szCs w:val="20"/>
          <w:highlight w:val="white"/>
          <w:rtl w:val="0"/>
        </w:rPr>
        <w:t xml:space="preserve">Den </w:t>
      </w:r>
      <w:r w:rsidDel="00000000" w:rsidR="00000000" w:rsidRPr="00000000">
        <w:rPr>
          <w:rFonts w:ascii="Crimson Pro" w:cs="Crimson Pro" w:eastAsia="Crimson Pro" w:hAnsi="Crimson Pro"/>
          <w:b w:val="1"/>
          <w:bCs w:val="1"/>
          <w:sz w:val="20"/>
          <w:szCs w:val="20"/>
          <w:highlight w:val="white"/>
          <w:rtl w:val="0"/>
        </w:rPr>
        <w:t xml:space="preserve">Staatsorganen</w:t>
      </w:r>
      <w:r w:rsidDel="00000000" w:rsidR="00000000" w:rsidRPr="00000000">
        <w:rPr>
          <w:rFonts w:ascii="Crimson Pro" w:cs="Crimson Pro" w:eastAsia="Crimson Pro" w:hAnsi="Crimson Pro"/>
          <w:sz w:val="20"/>
          <w:szCs w:val="20"/>
          <w:highlight w:val="white"/>
          <w:rtl w:val="0"/>
        </w:rPr>
        <w:t xml:space="preserve"> ist es von Verfassungs wegen </w:t>
      </w:r>
      <w:r w:rsidDel="00000000" w:rsidR="00000000" w:rsidRPr="00000000">
        <w:rPr>
          <w:rFonts w:ascii="Crimson Pro" w:cs="Crimson Pro" w:eastAsia="Crimson Pro" w:hAnsi="Crimson Pro"/>
          <w:b w:val="1"/>
          <w:bCs w:val="1"/>
          <w:sz w:val="20"/>
          <w:szCs w:val="20"/>
          <w:highlight w:val="white"/>
          <w:rtl w:val="0"/>
        </w:rPr>
        <w:t xml:space="preserve">versagt,</w:t>
      </w:r>
      <w:r w:rsidDel="00000000" w:rsidR="00000000" w:rsidRPr="00000000">
        <w:rPr>
          <w:rFonts w:ascii="Crimson Pro" w:cs="Crimson Pro" w:eastAsia="Crimson Pro" w:hAnsi="Crimson Pro"/>
          <w:sz w:val="20"/>
          <w:szCs w:val="20"/>
          <w:highlight w:val="white"/>
          <w:rtl w:val="0"/>
        </w:rPr>
        <w:t xml:space="preserve"> sich in amtlicher Funktion im Hinblick auf Wahlen </w:t>
      </w:r>
      <w:r w:rsidDel="00000000" w:rsidR="00000000" w:rsidRPr="00000000">
        <w:rPr>
          <w:rFonts w:ascii="Crimson Pro" w:cs="Crimson Pro" w:eastAsia="Crimson Pro" w:hAnsi="Crimson Pro"/>
          <w:b w:val="1"/>
          <w:bCs w:val="1"/>
          <w:sz w:val="20"/>
          <w:szCs w:val="20"/>
          <w:highlight w:val="white"/>
          <w:rtl w:val="0"/>
        </w:rPr>
        <w:t xml:space="preserve">mit</w:t>
      </w:r>
      <w:r w:rsidDel="00000000" w:rsidR="00000000" w:rsidRPr="00000000">
        <w:rPr>
          <w:rFonts w:ascii="Crimson Pro" w:cs="Crimson Pro" w:eastAsia="Crimson Pro" w:hAnsi="Crimson Pro"/>
          <w:sz w:val="20"/>
          <w:szCs w:val="20"/>
          <w:highlight w:val="white"/>
          <w:rtl w:val="0"/>
        </w:rPr>
        <w:t xml:space="preserve"> politischen Parteien oder </w:t>
      </w:r>
      <w:r w:rsidDel="00000000" w:rsidR="00000000" w:rsidRPr="00000000">
        <w:rPr>
          <w:rFonts w:ascii="Crimson Pro" w:cs="Crimson Pro" w:eastAsia="Crimson Pro" w:hAnsi="Crimson Pro"/>
          <w:b w:val="1"/>
          <w:bCs w:val="1"/>
          <w:sz w:val="20"/>
          <w:szCs w:val="20"/>
          <w:highlight w:val="white"/>
          <w:rtl w:val="0"/>
        </w:rPr>
        <w:t xml:space="preserve">Wahlbewerbern zu identifizieren </w:t>
      </w:r>
      <w:r w:rsidDel="00000000" w:rsidR="00000000" w:rsidRPr="00000000">
        <w:rPr>
          <w:rFonts w:ascii="Crimson Pro" w:cs="Crimson Pro" w:eastAsia="Crimson Pro" w:hAnsi="Crimson Pro"/>
          <w:sz w:val="20"/>
          <w:szCs w:val="20"/>
          <w:highlight w:val="white"/>
          <w:rtl w:val="0"/>
        </w:rPr>
        <w:t xml:space="preserve">und sie unter Einsatz staatlicher Mittel zu unterstützen oder zu bekämpfen, insbes </w:t>
      </w:r>
      <w:r w:rsidDel="00000000" w:rsidR="00000000" w:rsidRPr="00000000">
        <w:rPr>
          <w:rFonts w:ascii="Crimson Pro" w:cs="Crimson Pro" w:eastAsia="Crimson Pro" w:hAnsi="Crimson Pro"/>
          <w:b w:val="1"/>
          <w:bCs w:val="1"/>
          <w:sz w:val="20"/>
          <w:szCs w:val="20"/>
          <w:highlight w:val="white"/>
          <w:rtl w:val="0"/>
        </w:rPr>
        <w:t xml:space="preserve">durch Werbung die Entscheidung </w:t>
      </w:r>
      <w:r w:rsidDel="00000000" w:rsidR="00000000" w:rsidRPr="00000000">
        <w:rPr>
          <w:rFonts w:ascii="Crimson Pro" w:cs="Crimson Pro" w:eastAsia="Crimson Pro" w:hAnsi="Crimson Pro"/>
          <w:sz w:val="20"/>
          <w:szCs w:val="20"/>
          <w:highlight w:val="white"/>
          <w:rtl w:val="0"/>
        </w:rPr>
        <w:t xml:space="preserve">des Wählers </w:t>
      </w:r>
      <w:r w:rsidDel="00000000" w:rsidR="00000000" w:rsidRPr="00000000">
        <w:rPr>
          <w:rFonts w:ascii="Crimson Pro" w:cs="Crimson Pro" w:eastAsia="Crimson Pro" w:hAnsi="Crimson Pro"/>
          <w:b w:val="1"/>
          <w:bCs w:val="1"/>
          <w:sz w:val="20"/>
          <w:szCs w:val="20"/>
          <w:highlight w:val="white"/>
          <w:rtl w:val="0"/>
        </w:rPr>
        <w:t xml:space="preserve">zu beeinflussen</w:t>
      </w:r>
      <w:r w:rsidDel="00000000" w:rsidR="00000000" w:rsidRPr="00000000">
        <w:rPr>
          <w:rFonts w:ascii="Crimson Pro" w:cs="Crimson Pro" w:eastAsia="Crimson Pro" w:hAnsi="Crimson Pro"/>
          <w:sz w:val="20"/>
          <w:szCs w:val="20"/>
          <w:highlight w:val="white"/>
          <w:rtl w:val="0"/>
        </w:rPr>
        <w:t xml:space="preserve">”</w:t>
      </w:r>
      <w:r w:rsidDel="00000000" w:rsidR="00000000" w:rsidRPr="00000000">
        <w:rPr>
          <w:rFonts w:ascii="Crimson Pro" w:cs="Crimson Pro" w:eastAsia="Crimson Pro" w:hAnsi="Crimson Pro"/>
          <w:sz w:val="20"/>
          <w:szCs w:val="20"/>
          <w:highlight w:val="white"/>
          <w:rtl w:val="0"/>
        </w:rPr>
        <w:t xml:space="preserve">(</w:t>
      </w:r>
      <w:hyperlink r:id="rId7">
        <w:r w:rsidDel="00000000" w:rsidR="00000000" w:rsidRPr="00000000">
          <w:rPr>
            <w:rFonts w:ascii="Crimson Pro" w:cs="Crimson Pro" w:eastAsia="Crimson Pro" w:hAnsi="Crimson Pro"/>
            <w:color w:val="1155cc"/>
            <w:sz w:val="20"/>
            <w:szCs w:val="20"/>
            <w:highlight w:val="white"/>
            <w:u w:val="single"/>
            <w:rtl w:val="0"/>
          </w:rPr>
          <w:t xml:space="preserve">BVerfGE 44,125</w:t>
        </w:r>
      </w:hyperlink>
      <w:r w:rsidDel="00000000" w:rsidR="00000000" w:rsidRPr="00000000">
        <w:rPr>
          <w:rFonts w:ascii="Crimson Pro" w:cs="Crimson Pro" w:eastAsia="Crimson Pro" w:hAnsi="Crimson Pro"/>
          <w:sz w:val="20"/>
          <w:szCs w:val="20"/>
          <w:highlight w:val="white"/>
          <w:rtl w:val="0"/>
        </w:rPr>
        <w:t xml:space="preserve">). “</w:t>
      </w:r>
      <w:r w:rsidDel="00000000" w:rsidR="00000000" w:rsidRPr="00000000">
        <w:rPr>
          <w:rFonts w:ascii="Crimson Pro" w:cs="Crimson Pro" w:eastAsia="Crimson Pro" w:hAnsi="Crimson Pro"/>
          <w:sz w:val="20"/>
          <w:szCs w:val="20"/>
          <w:highlight w:val="white"/>
          <w:rtl w:val="0"/>
        </w:rPr>
        <w:t xml:space="preserve">Als Anzeichen für eine Grenzüberschreitung zur unzulässigen Wahlwerbung kommt weiterhin ein Anwachsen der Öffentlichkeitsarbeit in Wahlkampfnähe in Betracht[…];ebenda. </w:t>
      </w:r>
    </w:p>
    <w:p w:rsidR="00000000" w:rsidDel="00000000" w:rsidP="00000000" w:rsidRDefault="00000000" w:rsidRPr="00000000" w14:paraId="00000008">
      <w:pPr>
        <w:rPr>
          <w:rFonts w:ascii="Crimson Pro" w:cs="Crimson Pro" w:eastAsia="Crimson Pro" w:hAnsi="Crimson Pro"/>
          <w:sz w:val="20"/>
          <w:szCs w:val="20"/>
          <w:highlight w:val="white"/>
        </w:rPr>
      </w:pPr>
      <w:r w:rsidDel="00000000" w:rsidR="00000000" w:rsidRPr="00000000">
        <w:rPr>
          <w:rFonts w:ascii="Crimson Pro" w:cs="Crimson Pro" w:eastAsia="Crimson Pro" w:hAnsi="Crimson Pro"/>
          <w:sz w:val="20"/>
          <w:szCs w:val="20"/>
          <w:highlight w:val="white"/>
          <w:rtl w:val="0"/>
        </w:rPr>
        <w:t xml:space="preserve">Eine Schultour mit Podiumsdiskussionen von Pro- und Contra-Vertretern wie in 2015 (It’s your choice tour) lehnten die Regierungsparteien und die CDU im übrigen für 2026 ab (</w:t>
      </w:r>
      <w:hyperlink r:id="rId8">
        <w:r w:rsidDel="00000000" w:rsidR="00000000" w:rsidRPr="00000000">
          <w:rPr>
            <w:rFonts w:ascii="Crimson Pro" w:cs="Crimson Pro" w:eastAsia="Crimson Pro" w:hAnsi="Crimson Pro"/>
            <w:color w:val="1155cc"/>
            <w:sz w:val="20"/>
            <w:szCs w:val="20"/>
            <w:highlight w:val="white"/>
            <w:u w:val="single"/>
            <w:rtl w:val="0"/>
          </w:rPr>
          <w:t xml:space="preserve">Drs. 23_03284</w:t>
        </w:r>
      </w:hyperlink>
      <w:r w:rsidDel="00000000" w:rsidR="00000000" w:rsidRPr="00000000">
        <w:rPr>
          <w:rFonts w:ascii="Crimson Pro" w:cs="Crimson Pro" w:eastAsia="Crimson Pro" w:hAnsi="Crimson Pro"/>
          <w:sz w:val="20"/>
          <w:szCs w:val="20"/>
          <w:highlight w:val="white"/>
          <w:rtl w:val="0"/>
        </w:rPr>
        <w:t xml:space="preserve">)</w:t>
      </w:r>
    </w:p>
    <w:p w:rsidR="00000000" w:rsidDel="00000000" w:rsidP="00000000" w:rsidRDefault="00000000" w:rsidRPr="00000000" w14:paraId="00000009">
      <w:pPr>
        <w:rPr>
          <w:rFonts w:ascii="Crimson Pro" w:cs="Crimson Pro" w:eastAsia="Crimson Pro" w:hAnsi="Crimson Pro"/>
          <w:i w:val="1"/>
          <w:iCs w:val="1"/>
          <w:sz w:val="20"/>
          <w:szCs w:val="20"/>
        </w:rPr>
      </w:pPr>
      <w:r w:rsidDel="00000000" w:rsidR="00000000" w:rsidRPr="00000000">
        <w:rPr>
          <w:rFonts w:ascii="Crimson Pro" w:cs="Crimson Pro" w:eastAsia="Crimson Pro" w:hAnsi="Crimson Pro"/>
          <w:sz w:val="20"/>
          <w:szCs w:val="20"/>
          <w:rtl w:val="0"/>
        </w:rPr>
        <w:t xml:space="preserve">Dazu Eckart Maudrich, Pressesprecher von NOlympia:</w:t>
      </w:r>
      <w:r w:rsidDel="00000000" w:rsidR="00000000" w:rsidRPr="00000000">
        <w:rPr>
          <w:rFonts w:ascii="Crimson Pro" w:cs="Crimson Pro" w:eastAsia="Crimson Pro" w:hAnsi="Crimson Pro"/>
          <w:i w:val="1"/>
          <w:iCs w:val="1"/>
          <w:sz w:val="20"/>
          <w:szCs w:val="20"/>
          <w:rtl w:val="0"/>
        </w:rPr>
        <w:t xml:space="preserve"> „Zu einem Zeitpunkt wo die Regierungsparteien sich über die vermeintlichen Fesseln des Neutralitätsgebots bei Volkentscheiden mokieren, ist es erstaunlich wie unreflektiert die Schulbehörde der Hamburger Olympiawerbeabteilung direkten Zugang zu den Lehrkräften ermöglicht, Volunteering Avancen zulässt, sachlich falsche Anmoderation mitträgt, Unterrichtsmaterialien auf Olympiabewerbungspapier aushändigen lässt, die eine deutliche Quellenunwucht zu Gunsten der Olympiawerbeabteilung und olympiafreundlichen Quellen haben und wesentliche historische Kontexte des Tools Bürgerschaftsreferendum und der zivilgesellschaftlichen Einflussnahme gänzlich unter den Tisch fallen lassen während der Senat mit 18 Millionen Euro Olympiabudget und Drohnen geschwängerter Luft sicherstellt, dass die Olympia-CI von Schulmaterialien und Werbung 360-mäßig aus einem Guss kommt.”</w:t>
      </w:r>
    </w:p>
    <w:p w:rsidR="00000000" w:rsidDel="00000000" w:rsidP="00000000" w:rsidRDefault="00000000" w:rsidRPr="00000000" w14:paraId="0000000A">
      <w:pPr>
        <w:rPr>
          <w:rFonts w:ascii="Crimson Pro" w:cs="Crimson Pro" w:eastAsia="Crimson Pro" w:hAnsi="Crimson Pro"/>
          <w:i w:val="1"/>
          <w:iCs w:val="1"/>
          <w:sz w:val="20"/>
          <w:szCs w:val="20"/>
        </w:rPr>
      </w:pPr>
      <w:r w:rsidDel="00000000" w:rsidR="00000000" w:rsidRPr="00000000">
        <w:rPr>
          <w:rFonts w:ascii="Crimson Pro" w:cs="Crimson Pro" w:eastAsia="Crimson Pro" w:hAnsi="Crimson Pro"/>
          <w:i w:val="1"/>
          <w:iCs w:val="1"/>
          <w:sz w:val="20"/>
          <w:szCs w:val="20"/>
          <w:rtl w:val="0"/>
        </w:rPr>
        <w:t xml:space="preserve"> </w:t>
      </w:r>
    </w:p>
    <w:p w:rsidR="00000000" w:rsidDel="00000000" w:rsidP="00000000" w:rsidRDefault="00000000" w:rsidRPr="00000000" w14:paraId="0000000B">
      <w:pPr>
        <w:rPr>
          <w:rFonts w:ascii="Crimson Pro" w:cs="Crimson Pro" w:eastAsia="Crimson Pro" w:hAnsi="Crimson Pro"/>
          <w:sz w:val="20"/>
          <w:szCs w:val="20"/>
        </w:rPr>
      </w:pPr>
      <w:r w:rsidDel="00000000" w:rsidR="00000000" w:rsidRPr="00000000">
        <w:rPr>
          <w:rFonts w:ascii="Crimson Pro" w:cs="Crimson Pro" w:eastAsia="Crimson Pro" w:hAnsi="Crimson Pro"/>
          <w:sz w:val="20"/>
          <w:szCs w:val="20"/>
          <w:rtl w:val="0"/>
        </w:rPr>
        <w:t xml:space="preserve">Für Rückfragen: </w:t>
        <w:br w:type="textWrapping"/>
        <w:t xml:space="preserve">Kontakt: Clara Ihring und Eckart Maudrich, Pressesprecher NOlympia-Hamburg</w:t>
        <w:br w:type="textWrapping"/>
        <w:t xml:space="preserve">E-Mail: presse@nolympia-hamburg.de </w:t>
        <w:br w:type="textWrapping"/>
        <w:t xml:space="preserve">Weitere Informationen finden Sie auf: </w:t>
      </w:r>
      <w:hyperlink r:id="rId9">
        <w:r w:rsidDel="00000000" w:rsidR="00000000" w:rsidRPr="00000000">
          <w:rPr>
            <w:rFonts w:ascii="Crimson Pro" w:cs="Crimson Pro" w:eastAsia="Crimson Pro" w:hAnsi="Crimson Pro"/>
            <w:color w:val="1155cc"/>
            <w:sz w:val="20"/>
            <w:szCs w:val="20"/>
            <w:u w:val="single"/>
            <w:rtl w:val="0"/>
          </w:rPr>
          <w:t xml:space="preserve">www.nolympia-hamburg.de</w:t>
        </w:r>
      </w:hyperlink>
      <w:r w:rsidDel="00000000" w:rsidR="00000000" w:rsidRPr="00000000">
        <w:rPr>
          <w:rFonts w:ascii="Crimson Pro" w:cs="Crimson Pro" w:eastAsia="Crimson Pro" w:hAnsi="Crimson Pro"/>
          <w:color w:val="1155cc"/>
          <w:sz w:val="20"/>
          <w:szCs w:val="20"/>
          <w:u w:val="single"/>
          <w:rtl w:val="0"/>
        </w:rPr>
        <w:t xml:space="preserve"> </w:t>
      </w:r>
      <w:hyperlink r:id="rId10">
        <w:r w:rsidDel="00000000" w:rsidR="00000000" w:rsidRPr="00000000">
          <w:rPr>
            <w:rFonts w:ascii="Crimson Pro" w:cs="Crimson Pro" w:eastAsia="Crimson Pro" w:hAnsi="Crimson Pro"/>
            <w:color w:val="1155cc"/>
            <w:sz w:val="20"/>
            <w:szCs w:val="20"/>
            <w:rtl w:val="0"/>
          </w:rPr>
          <w:t xml:space="preserve">und</w:t>
        </w:r>
      </w:hyperlink>
      <w:hyperlink r:id="rId11">
        <w:r w:rsidDel="00000000" w:rsidR="00000000" w:rsidRPr="00000000">
          <w:rPr>
            <w:rFonts w:ascii="Crimson Pro" w:cs="Crimson Pro" w:eastAsia="Crimson Pro" w:hAnsi="Crimson Pro"/>
            <w:color w:val="1155cc"/>
            <w:sz w:val="20"/>
            <w:szCs w:val="20"/>
            <w:u w:val="single"/>
            <w:rtl w:val="0"/>
          </w:rPr>
          <w:t xml:space="preserve"> fairspielen.de</w:t>
        </w:r>
      </w:hyperlink>
      <w:r w:rsidDel="00000000" w:rsidR="00000000" w:rsidRPr="00000000">
        <w:rPr>
          <w:rtl w:val="0"/>
        </w:rPr>
      </w:r>
    </w:p>
    <w:p w:rsidR="00000000" w:rsidDel="00000000" w:rsidP="00000000" w:rsidRDefault="00000000" w:rsidRPr="00000000" w14:paraId="0000000C">
      <w:pPr>
        <w:spacing w:after="0" w:line="276" w:lineRule="auto"/>
        <w:rPr>
          <w:rFonts w:ascii="Crimson Pro" w:cs="Crimson Pro" w:eastAsia="Crimson Pro" w:hAnsi="Crimson Pro"/>
          <w:sz w:val="20"/>
          <w:szCs w:val="20"/>
        </w:rPr>
      </w:pPr>
      <w:r w:rsidDel="00000000" w:rsidR="00000000" w:rsidRPr="00000000">
        <w:rPr>
          <w:rFonts w:ascii="Crimson Pro" w:cs="Crimson Pro" w:eastAsia="Crimson Pro" w:hAnsi="Crimson Pro"/>
          <w:sz w:val="20"/>
          <w:szCs w:val="20"/>
          <w:rtl w:val="0"/>
        </w:rPr>
        <w:t xml:space="preserve">Über NOlympia Hamburg</w:t>
      </w:r>
    </w:p>
    <w:p w:rsidR="00000000" w:rsidDel="00000000" w:rsidP="00000000" w:rsidRDefault="00000000" w:rsidRPr="00000000" w14:paraId="0000000D">
      <w:pPr>
        <w:spacing w:after="0" w:line="276" w:lineRule="auto"/>
        <w:rPr>
          <w:rFonts w:ascii="Crimson Pro" w:cs="Crimson Pro" w:eastAsia="Crimson Pro" w:hAnsi="Crimson Pro"/>
          <w:i w:val="1"/>
          <w:iCs w:val="1"/>
          <w:sz w:val="20"/>
          <w:szCs w:val="20"/>
        </w:rPr>
      </w:pPr>
      <w:r w:rsidDel="00000000" w:rsidR="00000000" w:rsidRPr="00000000">
        <w:rPr>
          <w:rFonts w:ascii="Crimson Pro" w:cs="Crimson Pro" w:eastAsia="Crimson Pro" w:hAnsi="Crimson Pro"/>
          <w:i w:val="1"/>
          <w:iCs w:val="1"/>
          <w:sz w:val="20"/>
          <w:szCs w:val="20"/>
          <w:rtl w:val="0"/>
        </w:rPr>
        <w:t xml:space="preserve">NOlympia Hamburg hat sich anlässlich Hamburgs Olympiabewerbung 2015 formiert, um über Risiken und Nebenwirkungen von Spielen in Hamburg kritisch zu informieren. Mitte 2025 musste die Arbeit erneut aufgenommen werden, weil der Senat sich wieder massiv Steuermittel hat genehmigen lassen, um seine Wahrheit über alle Stimmen und Abstimmungsergebnisse hinweg durchzusetzen und dadurch eine ausgewogene Information akut gefährdet ist</w:t>
      </w:r>
      <w:r w:rsidDel="00000000" w:rsidR="00000000" w:rsidRPr="00000000">
        <w:rPr>
          <w:rFonts w:ascii="Crimson Pro" w:cs="Crimson Pro" w:eastAsia="Crimson Pro" w:hAnsi="Crimson Pro"/>
          <w:i w:val="1"/>
          <w:iCs w:val="1"/>
          <w:sz w:val="22"/>
          <w:szCs w:val="22"/>
          <w:rtl w:val="0"/>
        </w:rPr>
        <w:t xml:space="preserve">.</w:t>
      </w:r>
      <w:r w:rsidDel="00000000" w:rsidR="00000000" w:rsidRPr="00000000">
        <w:rPr>
          <w:rFonts w:ascii="Crimson Pro" w:cs="Crimson Pro" w:eastAsia="Crimson Pro" w:hAnsi="Crimson Pro"/>
          <w:i w:val="1"/>
          <w:iCs w:val="1"/>
          <w:sz w:val="20"/>
          <w:szCs w:val="20"/>
          <w:rtl w:val="0"/>
        </w:rPr>
        <w:t xml:space="preserve"> NOlympia bindet andere Stimmen der Stadt ein. Die Vielstimmigkeit löst sich nicht in der Gestalt eines Bündnisses auf.</w:t>
      </w:r>
    </w:p>
    <w:p w:rsidR="00000000" w:rsidDel="00000000" w:rsidP="00000000" w:rsidRDefault="00000000" w:rsidRPr="00000000" w14:paraId="0000000E">
      <w:pPr>
        <w:spacing w:after="0" w:line="276" w:lineRule="auto"/>
        <w:rPr>
          <w:rFonts w:ascii="Crimson Pro" w:cs="Crimson Pro" w:eastAsia="Crimson Pro" w:hAnsi="Crimson Pro"/>
          <w:sz w:val="20"/>
          <w:szCs w:val="20"/>
        </w:rPr>
      </w:pPr>
      <w:r w:rsidDel="00000000" w:rsidR="00000000" w:rsidRPr="00000000">
        <w:rPr>
          <w:rtl w:val="0"/>
        </w:rPr>
      </w:r>
    </w:p>
    <w:p w:rsidR="00000000" w:rsidDel="00000000" w:rsidP="00000000" w:rsidRDefault="00000000" w:rsidRPr="00000000" w14:paraId="0000000F">
      <w:pPr>
        <w:spacing w:after="0" w:line="276" w:lineRule="auto"/>
        <w:rPr>
          <w:rFonts w:ascii="Crimson Pro" w:cs="Crimson Pro" w:eastAsia="Crimson Pro" w:hAnsi="Crimson Pro"/>
          <w:sz w:val="20"/>
          <w:szCs w:val="20"/>
        </w:rPr>
      </w:pPr>
      <w:r w:rsidDel="00000000" w:rsidR="00000000" w:rsidRPr="00000000">
        <w:rPr>
          <w:rtl w:val="0"/>
        </w:rPr>
      </w:r>
    </w:p>
    <w:sectPr>
      <w:headerReference r:id="rId12"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Hind Vadodara">
    <w:embedRegular w:fontKey="{00000000-0000-0000-0000-000000000000}" r:id="rId3" w:subsetted="0"/>
    <w:embedBold w:fontKey="{00000000-0000-0000-0000-000000000000}" r:id="rId4" w:subsetted="0"/>
  </w:font>
  <w:font w:name="Crimson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rPr/>
    </w:pPr>
    <w:r w:rsidDel="00000000" w:rsidR="00000000" w:rsidRPr="00000000">
      <w:rPr/>
      <w:drawing>
        <wp:inline distB="114300" distT="114300" distL="114300" distR="114300">
          <wp:extent cx="1981517" cy="603071"/>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981517" cy="603071"/>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fairspielen.de" TargetMode="External"/><Relationship Id="rId10" Type="http://schemas.openxmlformats.org/officeDocument/2006/relationships/hyperlink" Target="http://fairspielen.de" TargetMode="External"/><Relationship Id="rId12" Type="http://schemas.openxmlformats.org/officeDocument/2006/relationships/header" Target="header1.xml"/><Relationship Id="rId9" Type="http://schemas.openxmlformats.org/officeDocument/2006/relationships/hyperlink" Target="http://www.nolympia-hamburg.de/" TargetMode="External"/><Relationship Id="rId5" Type="http://schemas.openxmlformats.org/officeDocument/2006/relationships/styles" Target="styles.xml"/><Relationship Id="rId6" Type="http://schemas.openxmlformats.org/officeDocument/2006/relationships/hyperlink" Target="mailto:olympia-paralympics@sommerspiele.hamburg.de" TargetMode="External"/><Relationship Id="rId7" Type="http://schemas.openxmlformats.org/officeDocument/2006/relationships/hyperlink" Target="https://www.fallrecht.de/bv044125.html?" TargetMode="External"/><Relationship Id="rId8" Type="http://schemas.openxmlformats.org/officeDocument/2006/relationships/hyperlink" Target="https://www.buergerschaft-hh.de/parldok/dokument/103075/23_03285_bericht_des_sportausschusses_ueber_die_drucksache_23_2509_it_s_your_choice_schultour_zur_bewerbung_um_olympische_und_paralympische_spiele_starten_antr#search=%22Olympiade%22#navpanes=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HindVadodara-regular.ttf"/><Relationship Id="rId4" Type="http://schemas.openxmlformats.org/officeDocument/2006/relationships/font" Target="fonts/HindVadodara-bold.ttf"/><Relationship Id="rId5" Type="http://schemas.openxmlformats.org/officeDocument/2006/relationships/font" Target="fonts/CrimsonPro-regular.ttf"/><Relationship Id="rId6" Type="http://schemas.openxmlformats.org/officeDocument/2006/relationships/font" Target="fonts/CrimsonPro-bold.ttf"/><Relationship Id="rId7" Type="http://schemas.openxmlformats.org/officeDocument/2006/relationships/font" Target="fonts/CrimsonPro-italic.ttf"/><Relationship Id="rId8" Type="http://schemas.openxmlformats.org/officeDocument/2006/relationships/font" Target="fonts/Crimson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